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5"/>
        <w:gridCol w:w="3801"/>
      </w:tblGrid>
      <w:tr w:rsidR="00633D38" w:rsidRPr="0055140A" w:rsidTr="001949AA">
        <w:trPr>
          <w:trHeight w:val="889"/>
        </w:trPr>
        <w:tc>
          <w:tcPr>
            <w:tcW w:w="6655" w:type="dxa"/>
            <w:shd w:val="clear" w:color="auto" w:fill="FFFF00"/>
            <w:vAlign w:val="center"/>
          </w:tcPr>
          <w:p w:rsidR="00633D38" w:rsidRPr="0055140A" w:rsidRDefault="00633D38" w:rsidP="00633D38">
            <w:pPr>
              <w:rPr>
                <w:rFonts w:ascii="Helios" w:hAnsi="Helios"/>
                <w:sz w:val="40"/>
                <w:szCs w:val="40"/>
                <w:lang w:val="en-US"/>
              </w:rPr>
            </w:pPr>
            <w:r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eastAsia="ru-RU"/>
              </w:rPr>
              <w:t>ИБП</w:t>
            </w:r>
            <w:r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LANCHES L</w:t>
            </w:r>
            <w:r w:rsidR="0086200D"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900</w:t>
            </w:r>
            <w:r w:rsid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Pro-H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RT</w:t>
            </w:r>
            <w:r w:rsid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3</w:t>
            </w:r>
            <w:r w:rsidR="00036558" w:rsidRPr="00036558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/1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 xml:space="preserve"> </w:t>
            </w:r>
            <w:r w:rsidR="00F1692D" w:rsidRPr="00F1692D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1</w:t>
            </w:r>
            <w:r w:rsidR="009422D1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0</w:t>
            </w:r>
            <w:r w:rsidR="003C2A9B" w:rsidRPr="0055140A">
              <w:rPr>
                <w:rFonts w:ascii="Helios" w:eastAsia="Times New Roman" w:hAnsi="Helios" w:cs="Times New Roman"/>
                <w:b/>
                <w:bCs/>
                <w:color w:val="464451"/>
                <w:kern w:val="36"/>
                <w:sz w:val="40"/>
                <w:szCs w:val="40"/>
                <w:lang w:val="en-US" w:eastAsia="ru-RU"/>
              </w:rPr>
              <w:t>kVA</w:t>
            </w:r>
          </w:p>
        </w:tc>
        <w:tc>
          <w:tcPr>
            <w:tcW w:w="3801" w:type="dxa"/>
            <w:shd w:val="clear" w:color="auto" w:fill="595959" w:themeFill="text1" w:themeFillTint="A6"/>
            <w:vAlign w:val="center"/>
          </w:tcPr>
          <w:p w:rsidR="005C2162" w:rsidRPr="0055140A" w:rsidRDefault="005C2162" w:rsidP="005C2162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55140A"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val="en-US" w:eastAsia="ru-RU"/>
              </w:rPr>
              <w:t xml:space="preserve">  </w:t>
            </w:r>
            <w:r w:rsidR="004A52E0" w:rsidRPr="0055140A">
              <w:rPr>
                <w:rFonts w:ascii="Helios" w:hAnsi="Helios"/>
                <w:color w:val="FFFFFF"/>
                <w:sz w:val="28"/>
                <w:szCs w:val="28"/>
              </w:rPr>
              <w:t>Двойное преобразование</w:t>
            </w:r>
          </w:p>
          <w:p w:rsidR="005C2162" w:rsidRPr="0055140A" w:rsidRDefault="005C2162" w:rsidP="005C2162">
            <w:pPr>
              <w:rPr>
                <w:rFonts w:ascii="Helios" w:eastAsia="Times New Roman" w:hAnsi="Helios" w:cs="Times New Roman"/>
                <w:b/>
                <w:bCs/>
                <w:color w:val="FFFFFF" w:themeColor="background1"/>
                <w:kern w:val="36"/>
                <w:sz w:val="28"/>
                <w:szCs w:val="28"/>
                <w:lang w:eastAsia="ru-RU"/>
              </w:rPr>
            </w:pPr>
            <w:r w:rsidRPr="005514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eastAsia="ru-RU"/>
              </w:rPr>
              <w:t xml:space="preserve">  </w:t>
            </w:r>
            <w:r w:rsidRPr="005514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  <w:proofErr w:type="spellStart"/>
            <w:r w:rsidR="004A52E0" w:rsidRPr="0055140A">
              <w:rPr>
                <w:rFonts w:ascii="Helios" w:eastAsia="Times New Roman" w:hAnsi="Helios" w:cs="Times New Roman"/>
                <w:bCs/>
                <w:color w:val="FFFFFF" w:themeColor="background1"/>
                <w:kern w:val="36"/>
                <w:lang w:val="en-US" w:eastAsia="ru-RU"/>
              </w:rPr>
              <w:t>OnLine</w:t>
            </w:r>
            <w:proofErr w:type="spellEnd"/>
            <w:r w:rsidRPr="0055140A">
              <w:rPr>
                <w:rFonts w:eastAsia="Times New Roman" w:cs="Times New Roman"/>
                <w:bCs/>
                <w:color w:val="FFFFFF" w:themeColor="background1"/>
                <w:kern w:val="36"/>
                <w:lang w:val="en-US" w:eastAsia="ru-RU"/>
              </w:rPr>
              <w:t>|</w:t>
            </w:r>
          </w:p>
        </w:tc>
      </w:tr>
    </w:tbl>
    <w:p w:rsidR="00B031C3" w:rsidRPr="0055140A" w:rsidRDefault="00B031C3">
      <w:pPr>
        <w:rPr>
          <w:rFonts w:ascii="Helios" w:hAnsi="Helio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118"/>
        <w:gridCol w:w="284"/>
        <w:gridCol w:w="378"/>
        <w:gridCol w:w="4124"/>
      </w:tblGrid>
      <w:tr w:rsidR="00331829" w:rsidRPr="0055140A" w:rsidTr="00E75978">
        <w:trPr>
          <w:trHeight w:val="2409"/>
        </w:trPr>
        <w:tc>
          <w:tcPr>
            <w:tcW w:w="6332" w:type="dxa"/>
            <w:gridSpan w:val="4"/>
            <w:vAlign w:val="center"/>
          </w:tcPr>
          <w:p w:rsidR="00CF6567" w:rsidRPr="0055140A" w:rsidRDefault="002F03FB" w:rsidP="00331829">
            <w:pPr>
              <w:rPr>
                <w:rFonts w:ascii="Helios" w:hAnsi="Helios"/>
              </w:rPr>
            </w:pPr>
            <w:r>
              <w:rPr>
                <w:rFonts w:ascii="Helios" w:hAnsi="Helios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121285</wp:posOffset>
                  </wp:positionV>
                  <wp:extent cx="3898265" cy="1193800"/>
                  <wp:effectExtent l="0" t="0" r="6985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39" t="33997" r="17551" b="36237"/>
                          <a:stretch/>
                        </pic:blipFill>
                        <pic:spPr bwMode="auto">
                          <a:xfrm>
                            <a:off x="0" y="0"/>
                            <a:ext cx="3898265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41027" w:rsidRPr="0055140A" w:rsidRDefault="00141027" w:rsidP="00331829">
            <w:pPr>
              <w:rPr>
                <w:rFonts w:ascii="Helios" w:hAnsi="Helios"/>
              </w:rPr>
            </w:pPr>
          </w:p>
        </w:tc>
        <w:tc>
          <w:tcPr>
            <w:tcW w:w="4124" w:type="dxa"/>
            <w:vMerge w:val="restart"/>
          </w:tcPr>
          <w:p w:rsidR="00E55FCD" w:rsidRPr="0055140A" w:rsidRDefault="00E55FCD" w:rsidP="00CE2C07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Описание</w:t>
            </w:r>
          </w:p>
          <w:p w:rsidR="00CE2C07" w:rsidRPr="0055140A" w:rsidRDefault="00CE2C07" w:rsidP="00CE2C07">
            <w:pPr>
              <w:jc w:val="both"/>
              <w:rPr>
                <w:rFonts w:ascii="Helios" w:hAnsi="Helios"/>
              </w:rPr>
            </w:pPr>
          </w:p>
          <w:p w:rsidR="0026795F" w:rsidRDefault="00CE2C07" w:rsidP="00CE2C07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 xml:space="preserve">Модель </w:t>
            </w:r>
            <w:r w:rsidR="00036558" w:rsidRPr="00036558">
              <w:rPr>
                <w:rFonts w:ascii="Helios" w:hAnsi="Helios"/>
              </w:rPr>
              <w:t xml:space="preserve">L900Pro-H RT 3/1 </w:t>
            </w:r>
            <w:r w:rsidR="00F1692D">
              <w:rPr>
                <w:rFonts w:ascii="Helios" w:hAnsi="Helios"/>
              </w:rPr>
              <w:t>1</w:t>
            </w:r>
            <w:r w:rsidR="00036558" w:rsidRPr="00036558">
              <w:rPr>
                <w:rFonts w:ascii="Helios" w:hAnsi="Helios"/>
              </w:rPr>
              <w:t xml:space="preserve">0kVA </w:t>
            </w:r>
            <w:r w:rsidRPr="0055140A">
              <w:rPr>
                <w:rFonts w:ascii="Helios" w:hAnsi="Helios"/>
              </w:rPr>
              <w:t>это источник бесперебойного питания с двойным пре</w:t>
            </w:r>
            <w:r w:rsidR="005403AE" w:rsidRPr="0055140A">
              <w:rPr>
                <w:rFonts w:ascii="Helios" w:hAnsi="Helios"/>
              </w:rPr>
              <w:t>образованием напряжени</w:t>
            </w:r>
            <w:r w:rsidR="00A53219">
              <w:rPr>
                <w:rFonts w:ascii="Helios" w:hAnsi="Helios"/>
              </w:rPr>
              <w:t xml:space="preserve">я, </w:t>
            </w:r>
            <w:r w:rsidR="00A53219" w:rsidRPr="00A53219">
              <w:rPr>
                <w:rFonts w:ascii="Helios" w:hAnsi="Helios"/>
              </w:rPr>
              <w:t>рассчитанный на подключение внешних аккумуляторов</w:t>
            </w:r>
            <w:r w:rsidRPr="0055140A">
              <w:rPr>
                <w:rFonts w:ascii="Helios" w:hAnsi="Helios"/>
              </w:rPr>
              <w:t xml:space="preserve"> Конструктивно ИБП монтируется в стойку 19" </w:t>
            </w:r>
          </w:p>
          <w:p w:rsidR="00A53219" w:rsidRPr="0055140A" w:rsidRDefault="00A53219" w:rsidP="00CE2C07">
            <w:pPr>
              <w:jc w:val="both"/>
              <w:rPr>
                <w:rFonts w:ascii="Helios" w:hAnsi="Helios"/>
              </w:rPr>
            </w:pPr>
          </w:p>
          <w:p w:rsidR="00E55FCD" w:rsidRPr="0055140A" w:rsidRDefault="00C01C07" w:rsidP="00CE2C07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Широкий диапазон входного напряжения 1</w:t>
            </w:r>
            <w:r w:rsidR="009670A4">
              <w:rPr>
                <w:rFonts w:ascii="Helios" w:hAnsi="Helios"/>
              </w:rPr>
              <w:t xml:space="preserve">90 – 478 В </w:t>
            </w:r>
            <w:r w:rsidR="005403AE" w:rsidRPr="0055140A">
              <w:rPr>
                <w:rFonts w:ascii="Helios" w:hAnsi="Helios"/>
              </w:rPr>
              <w:t>.</w:t>
            </w:r>
            <w:r w:rsidR="0004717D" w:rsidRPr="0055140A">
              <w:rPr>
                <w:rFonts w:ascii="Helios" w:hAnsi="Helios"/>
              </w:rPr>
              <w:t xml:space="preserve"> обеспечивает продолжительный срок службы АКБ в "суровых" условиях эксплуатации сводя к минимуму количество переходов ИБП в автономный режим.</w:t>
            </w:r>
          </w:p>
        </w:tc>
      </w:tr>
      <w:tr w:rsidR="00331829" w:rsidRPr="0055140A" w:rsidTr="00E75978">
        <w:trPr>
          <w:trHeight w:val="1835"/>
        </w:trPr>
        <w:tc>
          <w:tcPr>
            <w:tcW w:w="6332" w:type="dxa"/>
            <w:gridSpan w:val="4"/>
            <w:vAlign w:val="center"/>
          </w:tcPr>
          <w:p w:rsidR="00E55FCD" w:rsidRPr="0055140A" w:rsidRDefault="00E75978" w:rsidP="00CF6567">
            <w:pPr>
              <w:rPr>
                <w:rFonts w:ascii="Helios" w:hAnsi="Helios"/>
                <w:noProof/>
              </w:rPr>
            </w:pPr>
            <w:r>
              <w:rPr>
                <w:rFonts w:ascii="Helios" w:hAnsi="Helios"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60325</wp:posOffset>
                  </wp:positionH>
                  <wp:positionV relativeFrom="paragraph">
                    <wp:posOffset>10795</wp:posOffset>
                  </wp:positionV>
                  <wp:extent cx="3806190" cy="1133475"/>
                  <wp:effectExtent l="0" t="0" r="3810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98" t="32566" r="7074" b="32915"/>
                          <a:stretch/>
                        </pic:blipFill>
                        <pic:spPr bwMode="auto">
                          <a:xfrm>
                            <a:off x="0" y="0"/>
                            <a:ext cx="380619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4" w:type="dxa"/>
            <w:vMerge/>
          </w:tcPr>
          <w:p w:rsidR="00E55FCD" w:rsidRPr="0055140A" w:rsidRDefault="00E55FCD">
            <w:pPr>
              <w:rPr>
                <w:rFonts w:ascii="Helios" w:hAnsi="Helios"/>
              </w:rPr>
            </w:pPr>
          </w:p>
        </w:tc>
      </w:tr>
      <w:tr w:rsidR="00331829" w:rsidRPr="0055140A" w:rsidTr="00E75978">
        <w:trPr>
          <w:trHeight w:val="132"/>
        </w:trPr>
        <w:tc>
          <w:tcPr>
            <w:tcW w:w="6332" w:type="dxa"/>
            <w:gridSpan w:val="4"/>
          </w:tcPr>
          <w:p w:rsidR="001949AA" w:rsidRPr="0055140A" w:rsidRDefault="001949AA">
            <w:pPr>
              <w:rPr>
                <w:rFonts w:ascii="Helios" w:hAnsi="Helios"/>
              </w:rPr>
            </w:pPr>
          </w:p>
        </w:tc>
        <w:tc>
          <w:tcPr>
            <w:tcW w:w="4124" w:type="dxa"/>
          </w:tcPr>
          <w:p w:rsidR="001949AA" w:rsidRPr="0055140A" w:rsidRDefault="001949AA">
            <w:pPr>
              <w:rPr>
                <w:rFonts w:ascii="Helios" w:hAnsi="Helios"/>
              </w:rPr>
            </w:pPr>
          </w:p>
        </w:tc>
      </w:tr>
      <w:tr w:rsidR="00331829" w:rsidRPr="0055140A" w:rsidTr="00E75978">
        <w:trPr>
          <w:trHeight w:val="2676"/>
        </w:trPr>
        <w:tc>
          <w:tcPr>
            <w:tcW w:w="2552" w:type="dxa"/>
          </w:tcPr>
          <w:p w:rsidR="001949AA" w:rsidRPr="0055140A" w:rsidRDefault="002E7E16" w:rsidP="000C4AB1">
            <w:pPr>
              <w:rPr>
                <w:rFonts w:ascii="Helios" w:hAnsi="Helios"/>
              </w:rPr>
            </w:pPr>
            <w:r>
              <w:rPr>
                <w:rFonts w:ascii="Helios" w:hAnsi="Helios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818721" wp14:editId="6B29B22F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126</wp:posOffset>
                  </wp:positionV>
                  <wp:extent cx="962025" cy="2045669"/>
                  <wp:effectExtent l="0" t="0" r="0" b="0"/>
                  <wp:wrapTight wrapText="bothSides">
                    <wp:wrapPolygon edited="0">
                      <wp:start x="0" y="0"/>
                      <wp:lineTo x="0" y="21325"/>
                      <wp:lineTo x="20958" y="21325"/>
                      <wp:lineTo x="2095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877" r="857"/>
                          <a:stretch/>
                        </pic:blipFill>
                        <pic:spPr bwMode="auto">
                          <a:xfrm>
                            <a:off x="0" y="0"/>
                            <a:ext cx="964458" cy="2050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1A4860" w:rsidRPr="0055140A" w:rsidRDefault="00956F62" w:rsidP="001A4860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Панель управления</w:t>
            </w:r>
          </w:p>
          <w:p w:rsidR="00956F62" w:rsidRPr="0055140A" w:rsidRDefault="00956F62" w:rsidP="001A4860">
            <w:pPr>
              <w:jc w:val="both"/>
              <w:rPr>
                <w:rFonts w:ascii="Helios" w:hAnsi="Helios"/>
              </w:rPr>
            </w:pPr>
          </w:p>
          <w:p w:rsidR="001949AA" w:rsidRPr="0055140A" w:rsidRDefault="00573DC6" w:rsidP="000E7E81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Вращающийся дисплей, кнопки управления ИБП,</w:t>
            </w:r>
            <w:r w:rsidR="00956F62" w:rsidRPr="0055140A">
              <w:rPr>
                <w:rFonts w:ascii="Helios" w:hAnsi="Helios"/>
              </w:rPr>
              <w:t xml:space="preserve"> </w:t>
            </w:r>
            <w:r w:rsidRPr="0055140A">
              <w:rPr>
                <w:rFonts w:ascii="Helios" w:hAnsi="Helios"/>
              </w:rPr>
              <w:t>и</w:t>
            </w:r>
            <w:r w:rsidR="00956F62" w:rsidRPr="0055140A">
              <w:rPr>
                <w:rFonts w:ascii="Helios" w:hAnsi="Helios"/>
              </w:rPr>
              <w:t>ндикация режимов и параметров работы ИБП выполнена на ЖК-дисплее (LСD).</w:t>
            </w:r>
          </w:p>
          <w:p w:rsidR="00956F62" w:rsidRPr="0055140A" w:rsidRDefault="00956F62" w:rsidP="000E7E81">
            <w:pPr>
              <w:jc w:val="both"/>
              <w:rPr>
                <w:rFonts w:ascii="Helios" w:hAnsi="Helios"/>
              </w:rPr>
            </w:pPr>
          </w:p>
          <w:p w:rsidR="001949AA" w:rsidRPr="0055140A" w:rsidRDefault="001949AA" w:rsidP="000E7E81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>Показывает работу нагрузк</w:t>
            </w:r>
            <w:r w:rsidR="00624A19" w:rsidRPr="0055140A">
              <w:rPr>
                <w:rFonts w:ascii="Helios" w:hAnsi="Helios"/>
              </w:rPr>
              <w:t>и</w:t>
            </w:r>
            <w:r w:rsidRPr="0055140A">
              <w:rPr>
                <w:rFonts w:ascii="Helios" w:hAnsi="Helios"/>
              </w:rPr>
              <w:t>, режим работы от батарей, частоту, неисправность ИБП.</w:t>
            </w:r>
          </w:p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</w:tc>
        <w:tc>
          <w:tcPr>
            <w:tcW w:w="662" w:type="dxa"/>
            <w:gridSpan w:val="2"/>
          </w:tcPr>
          <w:p w:rsidR="001949AA" w:rsidRPr="0055140A" w:rsidRDefault="001949AA" w:rsidP="00D77703">
            <w:pPr>
              <w:rPr>
                <w:rFonts w:ascii="Helios" w:hAnsi="Helios"/>
                <w:i/>
              </w:rPr>
            </w:pPr>
          </w:p>
        </w:tc>
        <w:tc>
          <w:tcPr>
            <w:tcW w:w="4124" w:type="dxa"/>
          </w:tcPr>
          <w:p w:rsidR="001949AA" w:rsidRPr="0055140A" w:rsidRDefault="001949AA" w:rsidP="002D7E3F">
            <w:pPr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Область применения</w:t>
            </w:r>
          </w:p>
          <w:p w:rsidR="001A4860" w:rsidRPr="0055140A" w:rsidRDefault="001A4860" w:rsidP="001A4860">
            <w:pPr>
              <w:jc w:val="both"/>
              <w:rPr>
                <w:rFonts w:ascii="Helios" w:hAnsi="Helios"/>
              </w:rPr>
            </w:pPr>
          </w:p>
          <w:p w:rsidR="00807BD7" w:rsidRPr="0055140A" w:rsidRDefault="00807BD7" w:rsidP="001A4860">
            <w:pPr>
              <w:jc w:val="both"/>
              <w:rPr>
                <w:rFonts w:ascii="Helios" w:hAnsi="Helios"/>
              </w:rPr>
            </w:pPr>
            <w:r w:rsidRPr="0055140A">
              <w:rPr>
                <w:rFonts w:ascii="Helios" w:hAnsi="Helios"/>
              </w:rPr>
              <w:t xml:space="preserve">Коэффициент выходной </w:t>
            </w:r>
            <w:r w:rsidR="009670A4">
              <w:rPr>
                <w:rFonts w:ascii="Helios" w:hAnsi="Helios"/>
              </w:rPr>
              <w:t>мощности 1</w:t>
            </w:r>
            <w:bookmarkStart w:id="0" w:name="_GoBack"/>
            <w:bookmarkEnd w:id="0"/>
            <w:r w:rsidRPr="0055140A">
              <w:rPr>
                <w:rFonts w:ascii="Helios" w:hAnsi="Helios"/>
              </w:rPr>
              <w:t>, обеспечивает высокий уровень надежности и защиты ИТ-систем, телекоммуникационного оборудования, кассовых аппаратов, рабочих станций, серверов, систем сетевого резервирования и периферийных устройств.</w:t>
            </w:r>
          </w:p>
          <w:p w:rsidR="00807BD7" w:rsidRPr="0055140A" w:rsidRDefault="00807BD7" w:rsidP="001A4860">
            <w:pPr>
              <w:jc w:val="both"/>
              <w:rPr>
                <w:rFonts w:ascii="Helios" w:hAnsi="Helios"/>
              </w:rPr>
            </w:pPr>
          </w:p>
          <w:p w:rsidR="001949AA" w:rsidRPr="0055140A" w:rsidRDefault="001949AA" w:rsidP="001A4860">
            <w:pPr>
              <w:jc w:val="both"/>
              <w:rPr>
                <w:rFonts w:ascii="Helios" w:hAnsi="Helios"/>
              </w:rPr>
            </w:pPr>
          </w:p>
        </w:tc>
      </w:tr>
      <w:tr w:rsidR="00331829" w:rsidRPr="0055140A" w:rsidTr="00E75978">
        <w:trPr>
          <w:trHeight w:val="80"/>
        </w:trPr>
        <w:tc>
          <w:tcPr>
            <w:tcW w:w="6332" w:type="dxa"/>
            <w:gridSpan w:val="4"/>
          </w:tcPr>
          <w:p w:rsidR="00F07868" w:rsidRPr="0055140A" w:rsidRDefault="00F07868" w:rsidP="00F07868">
            <w:pPr>
              <w:rPr>
                <w:rFonts w:ascii="Helios" w:hAnsi="Helios"/>
                <w:noProof/>
              </w:rPr>
            </w:pPr>
          </w:p>
        </w:tc>
        <w:tc>
          <w:tcPr>
            <w:tcW w:w="4124" w:type="dxa"/>
          </w:tcPr>
          <w:p w:rsidR="00F07868" w:rsidRPr="0055140A" w:rsidRDefault="00F07868">
            <w:pPr>
              <w:rPr>
                <w:rFonts w:ascii="Helios" w:hAnsi="Helios"/>
              </w:rPr>
            </w:pPr>
          </w:p>
        </w:tc>
      </w:tr>
      <w:tr w:rsidR="00331829" w:rsidRPr="0055140A" w:rsidTr="00E75978">
        <w:tc>
          <w:tcPr>
            <w:tcW w:w="5670" w:type="dxa"/>
            <w:gridSpan w:val="2"/>
          </w:tcPr>
          <w:p w:rsidR="001949AA" w:rsidRPr="0055140A" w:rsidRDefault="001949AA" w:rsidP="00D77703">
            <w:pPr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Особенности</w:t>
            </w:r>
          </w:p>
          <w:p w:rsidR="001949AA" w:rsidRPr="0055140A" w:rsidRDefault="001949AA" w:rsidP="00D77703">
            <w:pPr>
              <w:rPr>
                <w:rFonts w:ascii="Helios" w:hAnsi="Helios"/>
                <w:b/>
              </w:rPr>
            </w:pP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Коэффициент мощности на выходе 1,0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Активная коррекция коэффициента мощности (APFC), коэффициент входной мощности до 0,99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Высокая эффективность 95% (до 98% в режиме ECO)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Усовершенствованная цифровая параллельная технология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Широкий диапазон входного напряжения (190 ~ 478 В) и частотный диапазон (40 ~ 70 Гц)</w:t>
            </w:r>
          </w:p>
          <w:p w:rsidR="003749AE" w:rsidRP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Частота 50/60 Гц, автоматическое определение</w:t>
            </w:r>
          </w:p>
          <w:p w:rsidR="003749AE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 w:rsidRPr="003749AE">
              <w:rPr>
                <w:rFonts w:ascii="Helios" w:hAnsi="Helios"/>
              </w:rPr>
              <w:t>Два режима преобразования частоты: вход 50 Гц / выход 60 Гц или вход 60 Гц / выход 50 Гц</w:t>
            </w:r>
          </w:p>
          <w:p w:rsidR="00147766" w:rsidRDefault="003749AE" w:rsidP="003749AE">
            <w:pPr>
              <w:pStyle w:val="a4"/>
              <w:numPr>
                <w:ilvl w:val="0"/>
                <w:numId w:val="2"/>
              </w:numPr>
              <w:jc w:val="both"/>
              <w:rPr>
                <w:rFonts w:ascii="Helios" w:hAnsi="Helios"/>
              </w:rPr>
            </w:pPr>
            <w:r>
              <w:rPr>
                <w:rFonts w:ascii="Helios" w:hAnsi="Helios"/>
              </w:rPr>
              <w:t>Отдельный вход байпаса</w:t>
            </w:r>
          </w:p>
          <w:p w:rsidR="003749AE" w:rsidRPr="003749AE" w:rsidRDefault="003749AE" w:rsidP="0069431A">
            <w:pPr>
              <w:pStyle w:val="a4"/>
              <w:ind w:left="227"/>
              <w:jc w:val="both"/>
              <w:rPr>
                <w:rFonts w:ascii="Helios" w:hAnsi="Helios"/>
              </w:rPr>
            </w:pPr>
          </w:p>
        </w:tc>
        <w:tc>
          <w:tcPr>
            <w:tcW w:w="284" w:type="dxa"/>
          </w:tcPr>
          <w:p w:rsidR="001949AA" w:rsidRPr="0055140A" w:rsidRDefault="001949AA" w:rsidP="0029409C">
            <w:pPr>
              <w:jc w:val="center"/>
              <w:rPr>
                <w:rFonts w:ascii="Helios" w:hAnsi="Helios"/>
                <w:noProof/>
              </w:rPr>
            </w:pPr>
          </w:p>
        </w:tc>
        <w:tc>
          <w:tcPr>
            <w:tcW w:w="4502" w:type="dxa"/>
            <w:gridSpan w:val="2"/>
          </w:tcPr>
          <w:p w:rsidR="00712F30" w:rsidRPr="00E75978" w:rsidRDefault="00712F30" w:rsidP="00712F30">
            <w:pPr>
              <w:jc w:val="both"/>
              <w:rPr>
                <w:rFonts w:ascii="Helios" w:hAnsi="Helios"/>
                <w:b/>
              </w:rPr>
            </w:pPr>
            <w:r w:rsidRPr="0055140A">
              <w:rPr>
                <w:rFonts w:ascii="Helios" w:hAnsi="Helios"/>
                <w:b/>
              </w:rPr>
              <w:t>Батареи</w:t>
            </w:r>
          </w:p>
          <w:p w:rsidR="003749AE" w:rsidRPr="003749AE" w:rsidRDefault="003749AE" w:rsidP="003749AE">
            <w:pPr>
              <w:rPr>
                <w:rFonts w:ascii="Helios" w:hAnsi="Helios"/>
                <w:noProof/>
              </w:rPr>
            </w:pPr>
            <w:r w:rsidRPr="003749AE">
              <w:rPr>
                <w:rFonts w:ascii="Helios" w:hAnsi="Helios"/>
                <w:noProof/>
              </w:rPr>
              <w:t>Гибкая конфигурация батареи</w:t>
            </w:r>
            <w:r>
              <w:rPr>
                <w:rFonts w:ascii="Helios" w:hAnsi="Helios"/>
                <w:noProof/>
              </w:rPr>
              <w:t>й</w:t>
            </w:r>
            <w:r w:rsidRPr="003749AE">
              <w:rPr>
                <w:rFonts w:ascii="Helios" w:hAnsi="Helios"/>
                <w:noProof/>
              </w:rPr>
              <w:t xml:space="preserve"> (настраиваемые батареи 16 - 20 шт.)</w:t>
            </w:r>
          </w:p>
          <w:p w:rsidR="00B649C7" w:rsidRDefault="00E75978" w:rsidP="003749AE">
            <w:pPr>
              <w:rPr>
                <w:rFonts w:ascii="Helios" w:hAnsi="Helios"/>
                <w:noProof/>
              </w:rPr>
            </w:pPr>
            <w:r>
              <w:rPr>
                <w:rFonts w:ascii="Helios" w:hAnsi="Helios"/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1227455</wp:posOffset>
                  </wp:positionH>
                  <wp:positionV relativeFrom="paragraph">
                    <wp:posOffset>645795</wp:posOffset>
                  </wp:positionV>
                  <wp:extent cx="1409700" cy="201930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92" t="21296" r="22644" b="17140"/>
                          <a:stretch/>
                        </pic:blipFill>
                        <pic:spPr bwMode="auto">
                          <a:xfrm>
                            <a:off x="0" y="0"/>
                            <a:ext cx="14097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49AE" w:rsidRPr="003749AE">
              <w:rPr>
                <w:rFonts w:ascii="Helios" w:hAnsi="Helios"/>
                <w:noProof/>
              </w:rPr>
              <w:t>Зарядное устройство с цифровым управлением</w:t>
            </w:r>
            <w:r w:rsidR="003749AE">
              <w:rPr>
                <w:rFonts w:ascii="Helios" w:hAnsi="Helios"/>
                <w:noProof/>
              </w:rPr>
              <w:t>В</w:t>
            </w:r>
            <w:r w:rsidR="003749AE" w:rsidRPr="003749AE">
              <w:rPr>
                <w:rFonts w:ascii="Helios" w:hAnsi="Helios"/>
                <w:noProof/>
              </w:rPr>
              <w:t>ысокий зарядный ток (макс. 10 А)Интеллектуальное управление батареями, автоматическое управление плавающим / выравнивающим зарядом, управление бездействием зарядного устройства, увеличение срока службы батареи на 50%</w:t>
            </w:r>
          </w:p>
          <w:p w:rsidR="001949AA" w:rsidRPr="0055140A" w:rsidRDefault="001949AA" w:rsidP="00B649C7">
            <w:pPr>
              <w:rPr>
                <w:rFonts w:ascii="Helios" w:hAnsi="Helios"/>
              </w:rPr>
            </w:pPr>
          </w:p>
        </w:tc>
      </w:tr>
    </w:tbl>
    <w:p w:rsidR="000E7E81" w:rsidRPr="00294AED" w:rsidRDefault="00294AED" w:rsidP="00294AED">
      <w:pPr>
        <w:spacing w:after="0" w:line="240" w:lineRule="auto"/>
        <w:jc w:val="right"/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</w:pPr>
      <w:r w:rsidRPr="00CC01A8"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  <w:lastRenderedPageBreak/>
        <w:t>https://upslanches.ru</w:t>
      </w:r>
    </w:p>
    <w:tbl>
      <w:tblPr>
        <w:tblW w:w="10490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015"/>
        <w:gridCol w:w="3475"/>
      </w:tblGrid>
      <w:tr w:rsidR="007A626D" w:rsidRPr="007A626D" w:rsidTr="0080719A">
        <w:trPr>
          <w:trHeight w:val="57"/>
        </w:trPr>
        <w:tc>
          <w:tcPr>
            <w:tcW w:w="7015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Модель</w:t>
            </w:r>
          </w:p>
        </w:tc>
        <w:tc>
          <w:tcPr>
            <w:tcW w:w="3475" w:type="dxa"/>
            <w:shd w:val="clear" w:color="auto" w:fill="FFFF00"/>
            <w:tcMar>
              <w:top w:w="30" w:type="dxa"/>
              <w:left w:w="75" w:type="dxa"/>
              <w:bottom w:w="30" w:type="dxa"/>
              <w:right w:w="75" w:type="dxa"/>
            </w:tcMar>
            <w:vAlign w:val="bottom"/>
          </w:tcPr>
          <w:p w:rsidR="001A70B6" w:rsidRPr="007A626D" w:rsidRDefault="00036558" w:rsidP="005C35B6">
            <w:pPr>
              <w:spacing w:after="0" w:line="240" w:lineRule="auto"/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val="en-US" w:eastAsia="ru-RU"/>
              </w:rPr>
              <w:t xml:space="preserve">L900Pro-H RT 3/1 </w:t>
            </w:r>
            <w:r w:rsidR="00366F78"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val="en-US" w:eastAsia="ru-RU"/>
              </w:rPr>
              <w:t>0kVA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Полная мощность, ВА</w:t>
            </w:r>
          </w:p>
        </w:tc>
        <w:tc>
          <w:tcPr>
            <w:tcW w:w="3475" w:type="dxa"/>
            <w:vAlign w:val="bottom"/>
          </w:tcPr>
          <w:p w:rsidR="001A70B6" w:rsidRPr="007A626D" w:rsidRDefault="00034320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10</w:t>
            </w:r>
            <w:r w:rsidR="0014776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0</w:t>
            </w:r>
            <w:r w:rsidR="001A70B6" w:rsidRPr="007A626D"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00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Активная мощность, Вт</w:t>
            </w:r>
          </w:p>
        </w:tc>
        <w:tc>
          <w:tcPr>
            <w:tcW w:w="3475" w:type="dxa"/>
            <w:vAlign w:val="bottom"/>
          </w:tcPr>
          <w:p w:rsidR="001A70B6" w:rsidRPr="007A626D" w:rsidRDefault="00B75A20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10000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DE34D4" w:rsidRPr="007A626D" w:rsidRDefault="00DE34D4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Эффективность системы</w:t>
            </w:r>
          </w:p>
        </w:tc>
        <w:tc>
          <w:tcPr>
            <w:tcW w:w="3475" w:type="dxa"/>
            <w:vAlign w:val="bottom"/>
          </w:tcPr>
          <w:p w:rsidR="00DE34D4" w:rsidRPr="007A626D" w:rsidRDefault="000B70EB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Более 9</w:t>
            </w:r>
            <w:r w:rsidR="00B75A20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%; в режиме ECO 9</w:t>
            </w:r>
            <w:r w:rsidR="00EA620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8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DE34D4" w:rsidRPr="007A626D" w:rsidRDefault="00DE34D4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Время автономии</w:t>
            </w:r>
          </w:p>
        </w:tc>
        <w:tc>
          <w:tcPr>
            <w:tcW w:w="3475" w:type="dxa"/>
            <w:vAlign w:val="bottom"/>
          </w:tcPr>
          <w:p w:rsidR="00DE34D4" w:rsidRPr="007A626D" w:rsidRDefault="000B70EB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Зависит от емкости подключенных батарей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DE34D4" w:rsidRPr="007A626D" w:rsidRDefault="00DE34D4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Габариты ИБП / упаковки (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ШхГхВ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), мм</w:t>
            </w:r>
          </w:p>
        </w:tc>
        <w:tc>
          <w:tcPr>
            <w:tcW w:w="3475" w:type="dxa"/>
            <w:vAlign w:val="bottom"/>
          </w:tcPr>
          <w:p w:rsidR="00DE34D4" w:rsidRPr="007A626D" w:rsidRDefault="00B75A20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440 × 650 × 88 </w:t>
            </w:r>
            <w:r w:rsidR="00C27672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/ 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514 x 696 x 168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DE34D4" w:rsidRPr="007A626D" w:rsidRDefault="00DE34D4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Вес нетто / брутто, кг</w:t>
            </w:r>
          </w:p>
        </w:tc>
        <w:tc>
          <w:tcPr>
            <w:tcW w:w="3475" w:type="dxa"/>
            <w:vAlign w:val="bottom"/>
          </w:tcPr>
          <w:p w:rsidR="00DE34D4" w:rsidRPr="007A626D" w:rsidRDefault="00467DC6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17 / </w:t>
            </w:r>
            <w:r w:rsidR="00B75A20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19</w:t>
            </w:r>
          </w:p>
        </w:tc>
      </w:tr>
      <w:tr w:rsidR="007A626D" w:rsidRPr="007A626D" w:rsidTr="000B70EB">
        <w:trPr>
          <w:trHeight w:val="57"/>
        </w:trPr>
        <w:tc>
          <w:tcPr>
            <w:tcW w:w="7015" w:type="dxa"/>
            <w:vAlign w:val="center"/>
          </w:tcPr>
          <w:p w:rsidR="00DE34D4" w:rsidRPr="007A626D" w:rsidRDefault="00DE34D4" w:rsidP="000B70EB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Стандартная комплектация</w:t>
            </w:r>
          </w:p>
        </w:tc>
        <w:tc>
          <w:tcPr>
            <w:tcW w:w="3475" w:type="dxa"/>
            <w:vAlign w:val="bottom"/>
          </w:tcPr>
          <w:p w:rsidR="00DE34D4" w:rsidRPr="007A626D" w:rsidRDefault="00825822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Диск с программным обеспечением 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Windows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98/2000/XP/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Vista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/7/8</w:t>
            </w:r>
            <w:r w:rsidR="00EA620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/10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, кабель USB для локального мониторинга, подставки для вертикальной установки, кабель питания, кабель для подключения батарей, EPO, руководства пользователя на английском и русском языках, паспорт</w:t>
            </w:r>
          </w:p>
        </w:tc>
      </w:tr>
      <w:tr w:rsidR="007A626D" w:rsidRPr="007A626D" w:rsidTr="00C27672">
        <w:trPr>
          <w:trHeight w:val="57"/>
        </w:trPr>
        <w:tc>
          <w:tcPr>
            <w:tcW w:w="7015" w:type="dxa"/>
            <w:vAlign w:val="center"/>
          </w:tcPr>
          <w:p w:rsidR="000B70EB" w:rsidRPr="007A626D" w:rsidRDefault="008D0A8D" w:rsidP="00C27672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Опции</w:t>
            </w:r>
          </w:p>
        </w:tc>
        <w:tc>
          <w:tcPr>
            <w:tcW w:w="3475" w:type="dxa"/>
            <w:vAlign w:val="bottom"/>
          </w:tcPr>
          <w:p w:rsidR="000B70EB" w:rsidRPr="008A2BC6" w:rsidRDefault="008A2BC6" w:rsidP="005C35B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RS</w:t>
            </w:r>
            <w:r w:rsidRPr="008A2BC6">
              <w:rPr>
                <w:rFonts w:eastAsia="Times New Roman" w:cs="Times New Roman"/>
                <w:sz w:val="18"/>
                <w:szCs w:val="18"/>
                <w:lang w:eastAsia="ru-RU"/>
              </w:rPr>
              <w:t>232 (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стандарт),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USB</w:t>
            </w:r>
            <w:r w:rsidRPr="008A2B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/ 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RS</w:t>
            </w:r>
            <w:r w:rsidRPr="008A2B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485/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сухие контакты/</w:t>
            </w:r>
            <w:r>
              <w:rPr>
                <w:rFonts w:eastAsia="Times New Roman" w:cs="Times New Roman"/>
                <w:sz w:val="18"/>
                <w:szCs w:val="18"/>
                <w:lang w:val="en-US" w:eastAsia="ru-RU"/>
              </w:rPr>
              <w:t>SNMP</w:t>
            </w:r>
            <w:r w:rsidRPr="008A2BC6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/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температурная компенсация батареи</w:t>
            </w:r>
          </w:p>
        </w:tc>
      </w:tr>
      <w:tr w:rsidR="007A626D" w:rsidRPr="007A626D" w:rsidTr="0080719A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Вход</w:t>
            </w:r>
          </w:p>
        </w:tc>
      </w:tr>
      <w:tr w:rsidR="007A626D" w:rsidRPr="007A626D" w:rsidTr="003950B8">
        <w:trPr>
          <w:trHeight w:val="57"/>
        </w:trPr>
        <w:tc>
          <w:tcPr>
            <w:tcW w:w="7015" w:type="dxa"/>
            <w:vAlign w:val="center"/>
          </w:tcPr>
          <w:p w:rsidR="001A70B6" w:rsidRPr="007A626D" w:rsidRDefault="003950B8" w:rsidP="003950B8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Напряжение / входное подключение</w:t>
            </w:r>
          </w:p>
        </w:tc>
        <w:tc>
          <w:tcPr>
            <w:tcW w:w="3475" w:type="dxa"/>
            <w:vAlign w:val="bottom"/>
          </w:tcPr>
          <w:p w:rsidR="001A70B6" w:rsidRPr="007A626D" w:rsidRDefault="00B75A20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3/1</w:t>
            </w:r>
            <w:r w:rsidR="00B445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: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380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/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400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/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415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В 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3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фаз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ы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+ нейтраль + заземление (клеммная колодка)</w:t>
            </w:r>
          </w:p>
        </w:tc>
      </w:tr>
      <w:tr w:rsidR="007A626D" w:rsidRPr="007A626D" w:rsidTr="003950B8">
        <w:trPr>
          <w:trHeight w:val="57"/>
        </w:trPr>
        <w:tc>
          <w:tcPr>
            <w:tcW w:w="7015" w:type="dxa"/>
            <w:vAlign w:val="center"/>
          </w:tcPr>
          <w:p w:rsidR="001A70B6" w:rsidRPr="007A626D" w:rsidRDefault="003950B8" w:rsidP="003950B8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Диапазон напряжения, В</w:t>
            </w:r>
          </w:p>
        </w:tc>
        <w:tc>
          <w:tcPr>
            <w:tcW w:w="3475" w:type="dxa"/>
            <w:vAlign w:val="bottom"/>
          </w:tcPr>
          <w:p w:rsidR="003950B8" w:rsidRPr="007A626D" w:rsidRDefault="003950B8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(1</w:t>
            </w:r>
            <w:r w:rsidR="00B445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90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~</w:t>
            </w:r>
            <w:r w:rsidR="00B445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304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) ±5 В при нагрузке 50%; </w:t>
            </w:r>
          </w:p>
          <w:p w:rsidR="001A70B6" w:rsidRPr="007A626D" w:rsidRDefault="003950B8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(</w:t>
            </w:r>
            <w:r w:rsidR="00B445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305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~</w:t>
            </w:r>
            <w:r w:rsidR="00B445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478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) ±5 В при нагрузке 100%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3950B8" w:rsidRPr="007A626D" w:rsidRDefault="003950B8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Коэффициент входной мощности</w:t>
            </w:r>
          </w:p>
        </w:tc>
        <w:tc>
          <w:tcPr>
            <w:tcW w:w="3475" w:type="dxa"/>
            <w:vAlign w:val="bottom"/>
          </w:tcPr>
          <w:p w:rsidR="003950B8" w:rsidRPr="007A626D" w:rsidRDefault="003950B8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не менее 0,9</w:t>
            </w:r>
            <w:r w:rsidR="000F4386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7A626D" w:rsidRPr="007A626D" w:rsidTr="003950B8">
        <w:trPr>
          <w:trHeight w:val="57"/>
        </w:trPr>
        <w:tc>
          <w:tcPr>
            <w:tcW w:w="7015" w:type="dxa"/>
            <w:vAlign w:val="center"/>
          </w:tcPr>
          <w:p w:rsidR="003950B8" w:rsidRPr="007A626D" w:rsidRDefault="003950B8" w:rsidP="003950B8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Входная частота, диапазон</w:t>
            </w:r>
          </w:p>
        </w:tc>
        <w:tc>
          <w:tcPr>
            <w:tcW w:w="3475" w:type="dxa"/>
            <w:vAlign w:val="bottom"/>
          </w:tcPr>
          <w:p w:rsidR="003950B8" w:rsidRPr="007A626D" w:rsidRDefault="006F7C71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4</w:t>
            </w:r>
            <w:r w:rsidR="003950B8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0 / 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7</w:t>
            </w:r>
            <w:r w:rsidR="003950B8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0 Гц </w:t>
            </w:r>
            <w:r w:rsidR="00FC515E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(автоматическое определение), 40~70</w:t>
            </w:r>
            <w:r w:rsidR="003950B8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±0,5%</w:t>
            </w:r>
          </w:p>
        </w:tc>
      </w:tr>
      <w:tr w:rsidR="007A626D" w:rsidRPr="007A626D" w:rsidTr="0080719A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Выход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B561DB" w:rsidRPr="007A626D" w:rsidRDefault="00B561DB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Устанавливаемое напряжение / </w:t>
            </w:r>
          </w:p>
          <w:p w:rsidR="001A70B6" w:rsidRPr="007A626D" w:rsidRDefault="00B561DB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подключение нагрузки</w:t>
            </w:r>
          </w:p>
        </w:tc>
        <w:tc>
          <w:tcPr>
            <w:tcW w:w="3475" w:type="dxa"/>
            <w:vAlign w:val="bottom"/>
          </w:tcPr>
          <w:p w:rsidR="001A70B6" w:rsidRPr="007A626D" w:rsidRDefault="006F7C71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208 (PF=0.9) / 220 / 230 / 240 </w:t>
            </w:r>
            <w:r w:rsidRPr="007A62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В </w:t>
            </w:r>
            <w:r w:rsidR="00B561DB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/ 1 фаза + нейтраль + заземление </w:t>
            </w:r>
          </w:p>
        </w:tc>
      </w:tr>
      <w:tr w:rsidR="007A626D" w:rsidRPr="007A626D" w:rsidTr="00B561DB">
        <w:trPr>
          <w:trHeight w:val="57"/>
        </w:trPr>
        <w:tc>
          <w:tcPr>
            <w:tcW w:w="7015" w:type="dxa"/>
            <w:vAlign w:val="bottom"/>
          </w:tcPr>
          <w:p w:rsidR="001A70B6" w:rsidRPr="007A626D" w:rsidRDefault="00B561DB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Точность выходного напряжения</w:t>
            </w:r>
          </w:p>
        </w:tc>
        <w:tc>
          <w:tcPr>
            <w:tcW w:w="3475" w:type="dxa"/>
            <w:vAlign w:val="bottom"/>
          </w:tcPr>
          <w:p w:rsidR="001A70B6" w:rsidRPr="007A626D" w:rsidRDefault="00B561DB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±1%</w:t>
            </w:r>
          </w:p>
        </w:tc>
      </w:tr>
      <w:tr w:rsidR="007A626D" w:rsidRPr="007A626D" w:rsidTr="00B561DB">
        <w:trPr>
          <w:trHeight w:val="57"/>
        </w:trPr>
        <w:tc>
          <w:tcPr>
            <w:tcW w:w="7015" w:type="dxa"/>
            <w:vAlign w:val="bottom"/>
          </w:tcPr>
          <w:p w:rsidR="001A70B6" w:rsidRPr="007A626D" w:rsidRDefault="00B561DB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Коэффициент мощности</w:t>
            </w:r>
          </w:p>
        </w:tc>
        <w:tc>
          <w:tcPr>
            <w:tcW w:w="3475" w:type="dxa"/>
            <w:vAlign w:val="bottom"/>
          </w:tcPr>
          <w:p w:rsidR="001A70B6" w:rsidRPr="007A626D" w:rsidRDefault="00AF588F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7A626D" w:rsidRPr="007A626D" w:rsidTr="00B561DB">
        <w:trPr>
          <w:trHeight w:val="57"/>
        </w:trPr>
        <w:tc>
          <w:tcPr>
            <w:tcW w:w="7015" w:type="dxa"/>
            <w:vAlign w:val="center"/>
          </w:tcPr>
          <w:p w:rsidR="001A70B6" w:rsidRPr="007A626D" w:rsidRDefault="00B561DB" w:rsidP="00B561DB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Искажения выходного напряжения (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THDv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475" w:type="dxa"/>
            <w:vAlign w:val="bottom"/>
          </w:tcPr>
          <w:p w:rsidR="001A70B6" w:rsidRPr="007A626D" w:rsidRDefault="00B561DB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не более </w:t>
            </w:r>
            <w:r w:rsidR="003B713F" w:rsidRPr="007A626D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(при линейной нагрузке);</w:t>
            </w:r>
          </w:p>
          <w:p w:rsidR="00B561DB" w:rsidRPr="007A626D" w:rsidRDefault="00B561DB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не более </w:t>
            </w:r>
            <w:r w:rsidR="003B713F" w:rsidRPr="007A626D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(при 100% нелинейной нагрузке)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B561DB" w:rsidRPr="007A626D" w:rsidRDefault="00B561DB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Крест-фактор выходного тока</w:t>
            </w:r>
          </w:p>
        </w:tc>
        <w:tc>
          <w:tcPr>
            <w:tcW w:w="3475" w:type="dxa"/>
            <w:vAlign w:val="bottom"/>
          </w:tcPr>
          <w:p w:rsidR="00B561DB" w:rsidRPr="007A626D" w:rsidRDefault="00282B4A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3:1 (максимум)</w:t>
            </w:r>
          </w:p>
        </w:tc>
      </w:tr>
      <w:tr w:rsidR="007A626D" w:rsidRPr="007A626D" w:rsidTr="00282B4A">
        <w:trPr>
          <w:trHeight w:val="57"/>
        </w:trPr>
        <w:tc>
          <w:tcPr>
            <w:tcW w:w="7015" w:type="dxa"/>
            <w:vAlign w:val="center"/>
          </w:tcPr>
          <w:p w:rsidR="00B561DB" w:rsidRPr="007A626D" w:rsidRDefault="00B561DB" w:rsidP="00282B4A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Выходная частота</w:t>
            </w:r>
          </w:p>
        </w:tc>
        <w:tc>
          <w:tcPr>
            <w:tcW w:w="3475" w:type="dxa"/>
            <w:vAlign w:val="bottom"/>
          </w:tcPr>
          <w:p w:rsidR="00B561DB" w:rsidRPr="007A626D" w:rsidRDefault="00282B4A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Синхронизирована с внешней сетью. Пр</w:t>
            </w:r>
            <w:r w:rsidR="00AF588F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и работе от батарей: 50/60 ± 0,1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Гц</w:t>
            </w:r>
          </w:p>
        </w:tc>
      </w:tr>
      <w:tr w:rsidR="007A626D" w:rsidRPr="007A626D" w:rsidTr="00282B4A">
        <w:trPr>
          <w:trHeight w:val="57"/>
        </w:trPr>
        <w:tc>
          <w:tcPr>
            <w:tcW w:w="7015" w:type="dxa"/>
            <w:vAlign w:val="center"/>
          </w:tcPr>
          <w:p w:rsidR="00B561DB" w:rsidRPr="007A626D" w:rsidRDefault="00B561DB" w:rsidP="00282B4A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Перегрузочная способность инвертера</w:t>
            </w:r>
          </w:p>
        </w:tc>
        <w:tc>
          <w:tcPr>
            <w:tcW w:w="3475" w:type="dxa"/>
            <w:vAlign w:val="bottom"/>
          </w:tcPr>
          <w:p w:rsidR="00B561DB" w:rsidRPr="007A626D" w:rsidRDefault="002B7F9F" w:rsidP="002B7F9F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Нагрузка 10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2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~1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10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- переход в байпас через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10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мин; 1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10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~1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25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% - через 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1минуту</w:t>
            </w:r>
            <w:r w:rsidR="00AF588F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; 125% -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150% - через 30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</w:t>
            </w:r>
          </w:p>
        </w:tc>
      </w:tr>
      <w:tr w:rsidR="007A626D" w:rsidRPr="007A626D" w:rsidTr="0080719A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Батареи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Напряжение DC шины, В</w:t>
            </w:r>
          </w:p>
        </w:tc>
        <w:tc>
          <w:tcPr>
            <w:tcW w:w="3475" w:type="dxa"/>
            <w:vAlign w:val="bottom"/>
          </w:tcPr>
          <w:p w:rsidR="001A70B6" w:rsidRPr="007A626D" w:rsidRDefault="008A5DB2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192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(либо 240)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Количество батарей</w:t>
            </w:r>
          </w:p>
        </w:tc>
        <w:tc>
          <w:tcPr>
            <w:tcW w:w="3475" w:type="dxa"/>
            <w:vAlign w:val="bottom"/>
          </w:tcPr>
          <w:p w:rsidR="001A70B6" w:rsidRPr="007A626D" w:rsidRDefault="008A5DB2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16</w:t>
            </w:r>
            <w:r w:rsidR="00357B39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шт</w:t>
            </w:r>
            <w:r w:rsidR="009A219F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</w:t>
            </w:r>
            <w:r w:rsidR="00357B39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х 12 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 либо 20шт х 12</w:t>
            </w:r>
          </w:p>
        </w:tc>
      </w:tr>
      <w:tr w:rsidR="007A626D" w:rsidRPr="007A626D" w:rsidTr="00357B39">
        <w:trPr>
          <w:trHeight w:val="57"/>
        </w:trPr>
        <w:tc>
          <w:tcPr>
            <w:tcW w:w="7015" w:type="dxa"/>
            <w:vAlign w:val="center"/>
            <w:hideMark/>
          </w:tcPr>
          <w:p w:rsidR="001A70B6" w:rsidRPr="007A626D" w:rsidRDefault="005C7397" w:rsidP="00357B39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Ток зарядки, А</w:t>
            </w:r>
          </w:p>
        </w:tc>
        <w:tc>
          <w:tcPr>
            <w:tcW w:w="3475" w:type="dxa"/>
            <w:vAlign w:val="bottom"/>
            <w:hideMark/>
          </w:tcPr>
          <w:p w:rsidR="00357B39" w:rsidRPr="007A626D" w:rsidRDefault="00357B39" w:rsidP="005C35B6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П</w:t>
            </w:r>
            <w:r w:rsidR="00402DB7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о умолчанию 1 А, для блока батарей 3U</w:t>
            </w:r>
          </w:p>
          <w:p w:rsidR="001A70B6" w:rsidRPr="007A626D" w:rsidRDefault="00AF588F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опционально 5/10</w:t>
            </w:r>
            <w:r w:rsidR="00402DB7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А – под внешние АКБ</w:t>
            </w:r>
          </w:p>
        </w:tc>
      </w:tr>
      <w:tr w:rsidR="007A626D" w:rsidRPr="007A626D" w:rsidTr="0080719A">
        <w:trPr>
          <w:trHeight w:val="57"/>
        </w:trPr>
        <w:tc>
          <w:tcPr>
            <w:tcW w:w="10490" w:type="dxa"/>
            <w:gridSpan w:val="2"/>
            <w:shd w:val="clear" w:color="auto" w:fill="CCCCCC"/>
            <w:vAlign w:val="bottom"/>
            <w:hideMark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b/>
                <w:bCs/>
                <w:sz w:val="18"/>
                <w:szCs w:val="18"/>
                <w:lang w:eastAsia="ru-RU"/>
              </w:rPr>
              <w:t>Прочее</w:t>
            </w:r>
          </w:p>
        </w:tc>
      </w:tr>
      <w:tr w:rsidR="007A626D" w:rsidRPr="009670A4" w:rsidTr="00FE5088">
        <w:trPr>
          <w:trHeight w:val="57"/>
        </w:trPr>
        <w:tc>
          <w:tcPr>
            <w:tcW w:w="7015" w:type="dxa"/>
            <w:vAlign w:val="center"/>
            <w:hideMark/>
          </w:tcPr>
          <w:p w:rsidR="001A70B6" w:rsidRPr="007A626D" w:rsidRDefault="00FE5088" w:rsidP="00FE5088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Стандарты</w:t>
            </w:r>
          </w:p>
        </w:tc>
        <w:tc>
          <w:tcPr>
            <w:tcW w:w="3475" w:type="dxa"/>
            <w:vAlign w:val="bottom"/>
          </w:tcPr>
          <w:p w:rsidR="001A70B6" w:rsidRPr="007A626D" w:rsidRDefault="00FE5088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EN62040-1-1, IEC62040-2, IEC61000-4-2 (ESD), IEC61000-4-3 (RS), IEC61000-4-4 (EFT), IEC61000-4-5 (</w:t>
            </w:r>
            <w:proofErr w:type="spellStart"/>
            <w:r w:rsidRPr="007A626D"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Suege</w:t>
            </w:r>
            <w:proofErr w:type="spellEnd"/>
            <w:r w:rsidRPr="007A626D">
              <w:rPr>
                <w:rFonts w:ascii="Helios" w:eastAsia="Times New Roman" w:hAnsi="Helios" w:cs="Times New Roman"/>
                <w:sz w:val="18"/>
                <w:szCs w:val="18"/>
                <w:lang w:val="en-US" w:eastAsia="ru-RU"/>
              </w:rPr>
              <w:t>), IEC62040-2 (Class B)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Уровень шума</w:t>
            </w:r>
          </w:p>
        </w:tc>
        <w:tc>
          <w:tcPr>
            <w:tcW w:w="3475" w:type="dxa"/>
            <w:vAlign w:val="bottom"/>
          </w:tcPr>
          <w:p w:rsidR="001A70B6" w:rsidRPr="007A626D" w:rsidRDefault="001A70B6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≤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</w:t>
            </w:r>
            <w:r w:rsidR="00FC2312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5</w:t>
            </w:r>
            <w:r w:rsidR="00D745D5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8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 xml:space="preserve"> дБ (1 метр)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Рабочая температура</w:t>
            </w:r>
          </w:p>
        </w:tc>
        <w:tc>
          <w:tcPr>
            <w:tcW w:w="3475" w:type="dxa"/>
            <w:vAlign w:val="bottom"/>
          </w:tcPr>
          <w:p w:rsidR="001A70B6" w:rsidRPr="007A626D" w:rsidRDefault="001A70B6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0-40°С</w:t>
            </w:r>
          </w:p>
        </w:tc>
      </w:tr>
      <w:tr w:rsidR="007A626D" w:rsidRPr="007A626D" w:rsidTr="0080719A">
        <w:trPr>
          <w:trHeight w:val="57"/>
        </w:trPr>
        <w:tc>
          <w:tcPr>
            <w:tcW w:w="7015" w:type="dxa"/>
            <w:vAlign w:val="bottom"/>
          </w:tcPr>
          <w:p w:rsidR="001A70B6" w:rsidRPr="007A626D" w:rsidRDefault="001A70B6" w:rsidP="00DB5E1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Влажность</w:t>
            </w:r>
          </w:p>
        </w:tc>
        <w:tc>
          <w:tcPr>
            <w:tcW w:w="3475" w:type="dxa"/>
            <w:vAlign w:val="bottom"/>
          </w:tcPr>
          <w:p w:rsidR="001A70B6" w:rsidRPr="007A626D" w:rsidRDefault="001A70B6" w:rsidP="005C35B6">
            <w:pPr>
              <w:spacing w:after="0" w:line="240" w:lineRule="auto"/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</w:pP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0-9</w:t>
            </w:r>
            <w:r w:rsidR="007A626D"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5</w:t>
            </w:r>
            <w:r w:rsidRPr="007A626D">
              <w:rPr>
                <w:rFonts w:ascii="Helios" w:eastAsia="Times New Roman" w:hAnsi="Helios" w:cs="Times New Roman"/>
                <w:sz w:val="18"/>
                <w:szCs w:val="18"/>
                <w:lang w:eastAsia="ru-RU"/>
              </w:rPr>
              <w:t>% без конденсата</w:t>
            </w:r>
          </w:p>
        </w:tc>
      </w:tr>
    </w:tbl>
    <w:p w:rsidR="00C82B78" w:rsidRPr="0055140A" w:rsidRDefault="00C82B78">
      <w:pPr>
        <w:rPr>
          <w:rFonts w:ascii="Helios" w:hAnsi="Helios"/>
        </w:rPr>
      </w:pPr>
    </w:p>
    <w:p w:rsidR="00A662C6" w:rsidRPr="0055140A" w:rsidRDefault="00A662C6">
      <w:pPr>
        <w:rPr>
          <w:rFonts w:ascii="Helios" w:hAnsi="Helios"/>
        </w:rPr>
      </w:pPr>
    </w:p>
    <w:p w:rsidR="005C7397" w:rsidRPr="0055140A" w:rsidRDefault="005C7397">
      <w:pPr>
        <w:rPr>
          <w:rFonts w:ascii="Helios" w:hAnsi="Helios"/>
        </w:rPr>
      </w:pPr>
    </w:p>
    <w:p w:rsidR="00FE5088" w:rsidRPr="0055140A" w:rsidRDefault="00FE5088">
      <w:pPr>
        <w:rPr>
          <w:rFonts w:ascii="Helios" w:hAnsi="Helios"/>
        </w:rPr>
      </w:pPr>
    </w:p>
    <w:p w:rsidR="00294AED" w:rsidRPr="003B713F" w:rsidRDefault="00294AED" w:rsidP="003B713F">
      <w:pPr>
        <w:spacing w:after="0" w:line="240" w:lineRule="auto"/>
        <w:jc w:val="right"/>
        <w:rPr>
          <w:rFonts w:eastAsia="Times New Roman" w:cs="Times New Roman"/>
          <w:color w:val="464451"/>
          <w:sz w:val="18"/>
          <w:szCs w:val="18"/>
          <w:lang w:val="en-US" w:eastAsia="ru-RU"/>
        </w:rPr>
      </w:pPr>
      <w:r w:rsidRPr="00CC01A8">
        <w:rPr>
          <w:rFonts w:ascii="Helios" w:eastAsia="Times New Roman" w:hAnsi="Helios" w:cs="Times New Roman"/>
          <w:color w:val="464451"/>
          <w:sz w:val="18"/>
          <w:szCs w:val="18"/>
          <w:lang w:val="en-US" w:eastAsia="ru-RU"/>
        </w:rPr>
        <w:lastRenderedPageBreak/>
        <w:t>https://upslanches.r</w:t>
      </w:r>
      <w:r w:rsidR="003B713F">
        <w:rPr>
          <w:rFonts w:eastAsia="Times New Roman" w:cs="Times New Roman"/>
          <w:color w:val="464451"/>
          <w:sz w:val="18"/>
          <w:szCs w:val="18"/>
          <w:lang w:val="en-US" w:eastAsia="ru-RU"/>
        </w:rPr>
        <w:t>u</w:t>
      </w:r>
    </w:p>
    <w:sectPr w:rsidR="00294AED" w:rsidRPr="003B713F" w:rsidSect="00633D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ios">
    <w:altName w:val="Calibri"/>
    <w:charset w:val="CC"/>
    <w:family w:val="decorative"/>
    <w:pitch w:val="variable"/>
    <w:sig w:usb0="80000283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82EC2"/>
    <w:multiLevelType w:val="hybridMultilevel"/>
    <w:tmpl w:val="2D5EFA26"/>
    <w:lvl w:ilvl="0" w:tplc="34921F68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55DE3"/>
    <w:multiLevelType w:val="hybridMultilevel"/>
    <w:tmpl w:val="35F448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05E"/>
    <w:rsid w:val="00027BC9"/>
    <w:rsid w:val="00034320"/>
    <w:rsid w:val="00036558"/>
    <w:rsid w:val="000450CC"/>
    <w:rsid w:val="0004717D"/>
    <w:rsid w:val="0006665E"/>
    <w:rsid w:val="000733DA"/>
    <w:rsid w:val="00082CE0"/>
    <w:rsid w:val="000B70EB"/>
    <w:rsid w:val="000C0221"/>
    <w:rsid w:val="000C4AB1"/>
    <w:rsid w:val="000D10F1"/>
    <w:rsid w:val="000E7E81"/>
    <w:rsid w:val="000F4386"/>
    <w:rsid w:val="00101366"/>
    <w:rsid w:val="0010288D"/>
    <w:rsid w:val="00130DE8"/>
    <w:rsid w:val="00141027"/>
    <w:rsid w:val="00147766"/>
    <w:rsid w:val="001853F5"/>
    <w:rsid w:val="001949AA"/>
    <w:rsid w:val="001A4860"/>
    <w:rsid w:val="001A70B6"/>
    <w:rsid w:val="001D57F7"/>
    <w:rsid w:val="001E6F25"/>
    <w:rsid w:val="00204927"/>
    <w:rsid w:val="00217C67"/>
    <w:rsid w:val="00255A23"/>
    <w:rsid w:val="0026795F"/>
    <w:rsid w:val="00282B4A"/>
    <w:rsid w:val="0029409C"/>
    <w:rsid w:val="00294AED"/>
    <w:rsid w:val="002B7F9F"/>
    <w:rsid w:val="002D63BB"/>
    <w:rsid w:val="002D7C49"/>
    <w:rsid w:val="002D7E3F"/>
    <w:rsid w:val="002E7E16"/>
    <w:rsid w:val="002F03FB"/>
    <w:rsid w:val="002F7AC7"/>
    <w:rsid w:val="00331829"/>
    <w:rsid w:val="00357B39"/>
    <w:rsid w:val="00366F78"/>
    <w:rsid w:val="003749AE"/>
    <w:rsid w:val="00390110"/>
    <w:rsid w:val="003950B8"/>
    <w:rsid w:val="003B5DA9"/>
    <w:rsid w:val="003B713F"/>
    <w:rsid w:val="003C2A9B"/>
    <w:rsid w:val="003C2E68"/>
    <w:rsid w:val="003C55CB"/>
    <w:rsid w:val="003F4AAB"/>
    <w:rsid w:val="00402DB7"/>
    <w:rsid w:val="00407D0E"/>
    <w:rsid w:val="00415ED7"/>
    <w:rsid w:val="004208BE"/>
    <w:rsid w:val="00424BA4"/>
    <w:rsid w:val="00434FA5"/>
    <w:rsid w:val="00461981"/>
    <w:rsid w:val="00467DC6"/>
    <w:rsid w:val="004A52E0"/>
    <w:rsid w:val="004F7160"/>
    <w:rsid w:val="00521330"/>
    <w:rsid w:val="005326B6"/>
    <w:rsid w:val="00537F1C"/>
    <w:rsid w:val="005403AE"/>
    <w:rsid w:val="00546117"/>
    <w:rsid w:val="0055140A"/>
    <w:rsid w:val="00570272"/>
    <w:rsid w:val="005726F0"/>
    <w:rsid w:val="00573DC6"/>
    <w:rsid w:val="0058050E"/>
    <w:rsid w:val="00595BAD"/>
    <w:rsid w:val="005C2162"/>
    <w:rsid w:val="005C35B6"/>
    <w:rsid w:val="005C4609"/>
    <w:rsid w:val="005C7397"/>
    <w:rsid w:val="005D44D3"/>
    <w:rsid w:val="00611A8B"/>
    <w:rsid w:val="00624A19"/>
    <w:rsid w:val="00631343"/>
    <w:rsid w:val="00633D38"/>
    <w:rsid w:val="006428F1"/>
    <w:rsid w:val="006927FB"/>
    <w:rsid w:val="0069431A"/>
    <w:rsid w:val="006C1462"/>
    <w:rsid w:val="006C177C"/>
    <w:rsid w:val="006C182E"/>
    <w:rsid w:val="006F0D55"/>
    <w:rsid w:val="006F4520"/>
    <w:rsid w:val="006F7C71"/>
    <w:rsid w:val="00712F30"/>
    <w:rsid w:val="007432F1"/>
    <w:rsid w:val="007457DE"/>
    <w:rsid w:val="0074658C"/>
    <w:rsid w:val="00746D6D"/>
    <w:rsid w:val="00764600"/>
    <w:rsid w:val="00771D7F"/>
    <w:rsid w:val="007A626D"/>
    <w:rsid w:val="007B659B"/>
    <w:rsid w:val="007C5B1C"/>
    <w:rsid w:val="007D4285"/>
    <w:rsid w:val="007D7911"/>
    <w:rsid w:val="007E510A"/>
    <w:rsid w:val="0080719A"/>
    <w:rsid w:val="00807BD7"/>
    <w:rsid w:val="00810C42"/>
    <w:rsid w:val="00825822"/>
    <w:rsid w:val="0086200D"/>
    <w:rsid w:val="00877BCD"/>
    <w:rsid w:val="00894B75"/>
    <w:rsid w:val="008978C0"/>
    <w:rsid w:val="008A2BC6"/>
    <w:rsid w:val="008A5DB2"/>
    <w:rsid w:val="008D0A8D"/>
    <w:rsid w:val="008D33BB"/>
    <w:rsid w:val="008E5173"/>
    <w:rsid w:val="008F11C1"/>
    <w:rsid w:val="008F7E2D"/>
    <w:rsid w:val="0091000A"/>
    <w:rsid w:val="0091782C"/>
    <w:rsid w:val="00921EE0"/>
    <w:rsid w:val="009422D1"/>
    <w:rsid w:val="00947EE1"/>
    <w:rsid w:val="00956F62"/>
    <w:rsid w:val="009670A4"/>
    <w:rsid w:val="009A219F"/>
    <w:rsid w:val="009C77AC"/>
    <w:rsid w:val="009D1050"/>
    <w:rsid w:val="009D73D3"/>
    <w:rsid w:val="009F385B"/>
    <w:rsid w:val="00A0779C"/>
    <w:rsid w:val="00A2431A"/>
    <w:rsid w:val="00A53219"/>
    <w:rsid w:val="00A662C6"/>
    <w:rsid w:val="00A7696F"/>
    <w:rsid w:val="00AC538C"/>
    <w:rsid w:val="00AC5F6B"/>
    <w:rsid w:val="00AC62CF"/>
    <w:rsid w:val="00AD3408"/>
    <w:rsid w:val="00AF588F"/>
    <w:rsid w:val="00B031C3"/>
    <w:rsid w:val="00B23A1C"/>
    <w:rsid w:val="00B33D61"/>
    <w:rsid w:val="00B445DB"/>
    <w:rsid w:val="00B561DB"/>
    <w:rsid w:val="00B62F14"/>
    <w:rsid w:val="00B649C7"/>
    <w:rsid w:val="00B75A20"/>
    <w:rsid w:val="00B84D6F"/>
    <w:rsid w:val="00B95FB0"/>
    <w:rsid w:val="00BE344F"/>
    <w:rsid w:val="00BE6B4C"/>
    <w:rsid w:val="00C01C07"/>
    <w:rsid w:val="00C03367"/>
    <w:rsid w:val="00C2625C"/>
    <w:rsid w:val="00C27672"/>
    <w:rsid w:val="00C57E22"/>
    <w:rsid w:val="00C63797"/>
    <w:rsid w:val="00C80654"/>
    <w:rsid w:val="00C82B78"/>
    <w:rsid w:val="00C9737A"/>
    <w:rsid w:val="00CB283F"/>
    <w:rsid w:val="00CE2457"/>
    <w:rsid w:val="00CE2C07"/>
    <w:rsid w:val="00CF6567"/>
    <w:rsid w:val="00CF787C"/>
    <w:rsid w:val="00D075E5"/>
    <w:rsid w:val="00D142BA"/>
    <w:rsid w:val="00D36F82"/>
    <w:rsid w:val="00D64ADA"/>
    <w:rsid w:val="00D745D5"/>
    <w:rsid w:val="00D77703"/>
    <w:rsid w:val="00D8105E"/>
    <w:rsid w:val="00DA0333"/>
    <w:rsid w:val="00DA498B"/>
    <w:rsid w:val="00DA4A53"/>
    <w:rsid w:val="00DA65C4"/>
    <w:rsid w:val="00DA7FC2"/>
    <w:rsid w:val="00DC1F7E"/>
    <w:rsid w:val="00DD1D66"/>
    <w:rsid w:val="00DD2BB4"/>
    <w:rsid w:val="00DE2F48"/>
    <w:rsid w:val="00DE34D4"/>
    <w:rsid w:val="00E0325B"/>
    <w:rsid w:val="00E25A8A"/>
    <w:rsid w:val="00E26A0F"/>
    <w:rsid w:val="00E34ACE"/>
    <w:rsid w:val="00E55FCD"/>
    <w:rsid w:val="00E75978"/>
    <w:rsid w:val="00E926AC"/>
    <w:rsid w:val="00EA2DC5"/>
    <w:rsid w:val="00EA6205"/>
    <w:rsid w:val="00F07868"/>
    <w:rsid w:val="00F1692D"/>
    <w:rsid w:val="00F20F38"/>
    <w:rsid w:val="00F34B5F"/>
    <w:rsid w:val="00F400D8"/>
    <w:rsid w:val="00F40557"/>
    <w:rsid w:val="00F505F6"/>
    <w:rsid w:val="00F514BA"/>
    <w:rsid w:val="00F76956"/>
    <w:rsid w:val="00FA3666"/>
    <w:rsid w:val="00FC2312"/>
    <w:rsid w:val="00FC515E"/>
    <w:rsid w:val="00FD2CEE"/>
    <w:rsid w:val="00FE30BF"/>
    <w:rsid w:val="00FE45BA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AC0E"/>
  <w15:chartTrackingRefBased/>
  <w15:docId w15:val="{712D7014-FB30-429F-91B0-D03BD2B6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3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3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318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182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E2F8-BA3B-40B6-9664-B288B32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managerUPS</cp:lastModifiedBy>
  <cp:revision>177</cp:revision>
  <cp:lastPrinted>2017-10-31T09:42:00Z</cp:lastPrinted>
  <dcterms:created xsi:type="dcterms:W3CDTF">2017-10-26T11:09:00Z</dcterms:created>
  <dcterms:modified xsi:type="dcterms:W3CDTF">2020-11-12T09:54:00Z</dcterms:modified>
</cp:coreProperties>
</file>